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4A3FFE" w14:paraId="73E75FF8" w14:textId="77777777" w:rsidTr="004A3FFE">
        <w:trPr>
          <w:jc w:val="center"/>
        </w:trPr>
        <w:tc>
          <w:tcPr>
            <w:tcW w:w="5000" w:type="pct"/>
            <w:tcMar>
              <w:top w:w="150" w:type="dxa"/>
              <w:left w:w="150" w:type="dxa"/>
              <w:bottom w:w="150" w:type="dxa"/>
              <w:right w:w="150" w:type="dxa"/>
            </w:tcMar>
            <w:vAlign w:val="center"/>
            <w:hideMark/>
          </w:tcPr>
          <w:p w14:paraId="758E6C8D" w14:textId="77777777" w:rsidR="004A3FFE" w:rsidRDefault="004A3FFE">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"https://content.govdelivery.com/accounts/USDAFARMERS/bulletins/2e7c0c4"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4A3FFE" w14:paraId="5017365A" w14:textId="77777777" w:rsidTr="004A3FF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A3FFE" w14:paraId="212650B0" w14:textId="77777777">
              <w:trPr>
                <w:jc w:val="center"/>
              </w:trPr>
              <w:tc>
                <w:tcPr>
                  <w:tcW w:w="5000" w:type="pct"/>
                  <w:shd w:val="clear" w:color="auto" w:fill="003A63"/>
                  <w:tcMar>
                    <w:top w:w="150" w:type="dxa"/>
                    <w:left w:w="300" w:type="dxa"/>
                    <w:bottom w:w="150" w:type="dxa"/>
                    <w:right w:w="300" w:type="dxa"/>
                  </w:tcMar>
                  <w:vAlign w:val="center"/>
                  <w:hideMark/>
                </w:tcPr>
                <w:p w14:paraId="0E59ABF3" w14:textId="545412C7" w:rsidR="004A3FFE" w:rsidRDefault="004A3FFE">
                  <w:pPr>
                    <w:rPr>
                      <w:rFonts w:eastAsia="Times New Roman"/>
                    </w:rPr>
                  </w:pPr>
                  <w:r>
                    <w:rPr>
                      <w:rFonts w:eastAsia="Times New Roman"/>
                      <w:noProof/>
                    </w:rPr>
                    <w:drawing>
                      <wp:inline distT="0" distB="0" distL="0" distR="0" wp14:anchorId="09E0E9A4" wp14:editId="38CABA26">
                        <wp:extent cx="3669665" cy="397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9665" cy="397510"/>
                                </a:xfrm>
                                <a:prstGeom prst="rect">
                                  <a:avLst/>
                                </a:prstGeom>
                                <a:noFill/>
                                <a:ln>
                                  <a:noFill/>
                                </a:ln>
                              </pic:spPr>
                            </pic:pic>
                          </a:graphicData>
                        </a:graphic>
                      </wp:inline>
                    </w:drawing>
                  </w:r>
                </w:p>
              </w:tc>
            </w:tr>
            <w:tr w:rsidR="004A3FFE" w14:paraId="45DDC453" w14:textId="77777777">
              <w:trPr>
                <w:jc w:val="center"/>
              </w:trPr>
              <w:tc>
                <w:tcPr>
                  <w:tcW w:w="5000" w:type="pct"/>
                  <w:shd w:val="clear" w:color="auto" w:fill="003A63"/>
                  <w:tcMar>
                    <w:top w:w="75" w:type="dxa"/>
                    <w:left w:w="300" w:type="dxa"/>
                    <w:bottom w:w="75" w:type="dxa"/>
                    <w:right w:w="300" w:type="dxa"/>
                  </w:tcMar>
                  <w:vAlign w:val="center"/>
                  <w:hideMark/>
                </w:tcPr>
                <w:p w14:paraId="55F22762" w14:textId="77777777" w:rsidR="004A3FFE" w:rsidRDefault="004A3FFE">
                  <w:pPr>
                    <w:jc w:val="right"/>
                    <w:rPr>
                      <w:rFonts w:ascii="Arial" w:hAnsi="Arial" w:cs="Arial"/>
                      <w:color w:val="FFFFFF"/>
                      <w:sz w:val="21"/>
                      <w:szCs w:val="21"/>
                    </w:rPr>
                  </w:pPr>
                  <w:r>
                    <w:rPr>
                      <w:rStyle w:val="Strong"/>
                      <w:rFonts w:ascii="Arial" w:hAnsi="Arial" w:cs="Arial"/>
                      <w:color w:val="FFFFFF"/>
                      <w:sz w:val="21"/>
                      <w:szCs w:val="21"/>
                    </w:rPr>
                    <w:t xml:space="preserve">Maine FSA </w:t>
                  </w:r>
                  <w:proofErr w:type="gramStart"/>
                  <w:r>
                    <w:rPr>
                      <w:rStyle w:val="Strong"/>
                      <w:rFonts w:ascii="Arial" w:hAnsi="Arial" w:cs="Arial"/>
                      <w:color w:val="FFFFFF"/>
                      <w:sz w:val="21"/>
                      <w:szCs w:val="21"/>
                    </w:rPr>
                    <w:t>Newsletter </w:t>
                  </w:r>
                  <w:r>
                    <w:rPr>
                      <w:rFonts w:ascii="Arial" w:hAnsi="Arial" w:cs="Arial"/>
                      <w:color w:val="FFFFFF"/>
                      <w:sz w:val="21"/>
                      <w:szCs w:val="21"/>
                    </w:rPr>
                    <w:t> July</w:t>
                  </w:r>
                  <w:proofErr w:type="gramEnd"/>
                  <w:r>
                    <w:rPr>
                      <w:rFonts w:ascii="Arial" w:hAnsi="Arial" w:cs="Arial"/>
                      <w:color w:val="FFFFFF"/>
                      <w:sz w:val="21"/>
                      <w:szCs w:val="21"/>
                    </w:rPr>
                    <w:t xml:space="preserve"> 12, 2021</w:t>
                  </w:r>
                </w:p>
              </w:tc>
            </w:tr>
            <w:tr w:rsidR="004A3FFE" w14:paraId="06BD576C" w14:textId="77777777">
              <w:trPr>
                <w:jc w:val="center"/>
              </w:trPr>
              <w:tc>
                <w:tcPr>
                  <w:tcW w:w="5000" w:type="pct"/>
                  <w:shd w:val="clear" w:color="auto" w:fill="FFFFFF"/>
                  <w:vAlign w:val="center"/>
                  <w:hideMark/>
                </w:tcPr>
                <w:p w14:paraId="67C1894E" w14:textId="77777777" w:rsidR="004A3FFE" w:rsidRDefault="004A3FFE">
                  <w:pPr>
                    <w:rPr>
                      <w:rFonts w:ascii="Arial" w:hAnsi="Arial" w:cs="Arial"/>
                      <w:color w:val="FFFFFF"/>
                      <w:sz w:val="21"/>
                      <w:szCs w:val="21"/>
                    </w:rPr>
                  </w:pPr>
                </w:p>
              </w:tc>
            </w:tr>
            <w:tr w:rsidR="004A3FFE" w14:paraId="03F7FBD7" w14:textId="77777777">
              <w:trPr>
                <w:jc w:val="center"/>
              </w:trPr>
              <w:tc>
                <w:tcPr>
                  <w:tcW w:w="5000" w:type="pct"/>
                  <w:shd w:val="clear" w:color="auto" w:fill="FFFFFF"/>
                  <w:tcMar>
                    <w:top w:w="150" w:type="dxa"/>
                    <w:left w:w="300" w:type="dxa"/>
                    <w:bottom w:w="0" w:type="dxa"/>
                    <w:right w:w="300" w:type="dxa"/>
                  </w:tcMar>
                  <w:vAlign w:val="center"/>
                  <w:hideMark/>
                </w:tcPr>
                <w:p w14:paraId="28CF74CC" w14:textId="77777777" w:rsidR="004A3FFE" w:rsidRDefault="004A3FFE">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p w14:paraId="39C0702E"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Announces Dates for Conservation Reserve Program General and Grasslands Signups</w:t>
                    </w:r>
                  </w:hyperlink>
                </w:p>
                <w:p w14:paraId="269C65C9"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Environmental Review Required Before Project Implementation</w:t>
                    </w:r>
                  </w:hyperlink>
                </w:p>
                <w:p w14:paraId="58F99806"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Disaster Set-Aside (DSA) Program for Farm Loan Borrowers</w:t>
                    </w:r>
                  </w:hyperlink>
                </w:p>
                <w:p w14:paraId="7A4A0D5F"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FSA Offers Loan Servicing Options</w:t>
                    </w:r>
                  </w:hyperlink>
                </w:p>
                <w:p w14:paraId="05EFE4A2"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 xml:space="preserve">Making Farm Reconstitutions </w:t>
                    </w:r>
                  </w:hyperlink>
                </w:p>
                <w:p w14:paraId="5F22DCB6" w14:textId="77777777" w:rsidR="004A3FFE" w:rsidRDefault="004A3FFE" w:rsidP="002C5075">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Offers Targeted Farm Loan Funding for Underserved Groups and Beginning Farmers</w:t>
                    </w:r>
                  </w:hyperlink>
                </w:p>
                <w:p w14:paraId="577A255B" w14:textId="77777777" w:rsidR="004A3FFE" w:rsidRDefault="004A3FFE" w:rsidP="004A3FFE">
                  <w:pPr>
                    <w:jc w:val="center"/>
                    <w:rPr>
                      <w:rFonts w:eastAsia="Times New Roman"/>
                    </w:rPr>
                  </w:pPr>
                  <w:r>
                    <w:rPr>
                      <w:rFonts w:eastAsia="Times New Roman"/>
                    </w:rPr>
                    <w:pict w14:anchorId="146FEE01">
                      <v:rect id="_x0000_i1026" style="width:468pt;height:.95pt" o:hralign="center" o:hrstd="t" o:hrnoshade="t" o:hr="t" fillcolor="#aaa" stroked="f"/>
                    </w:pict>
                  </w:r>
                </w:p>
              </w:tc>
            </w:tr>
            <w:tr w:rsidR="004A3FFE" w14:paraId="7193418C" w14:textId="77777777">
              <w:trPr>
                <w:jc w:val="center"/>
              </w:trPr>
              <w:tc>
                <w:tcPr>
                  <w:tcW w:w="5000" w:type="pct"/>
                  <w:shd w:val="clear" w:color="auto" w:fill="FFFFFF"/>
                  <w:tcMar>
                    <w:top w:w="150" w:type="dxa"/>
                    <w:left w:w="300" w:type="dxa"/>
                    <w:bottom w:w="300" w:type="dxa"/>
                    <w:right w:w="300" w:type="dxa"/>
                  </w:tcMar>
                  <w:vAlign w:val="center"/>
                  <w:hideMark/>
                </w:tcPr>
                <w:p w14:paraId="5B850A2C"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0" w:name="link_1"/>
                  <w:r>
                    <w:rPr>
                      <w:rFonts w:ascii="Arial" w:eastAsia="Times New Roman" w:hAnsi="Arial" w:cs="Arial"/>
                      <w:color w:val="000000"/>
                      <w:sz w:val="36"/>
                      <w:szCs w:val="36"/>
                    </w:rPr>
                    <w:t>USDA Announces Dates for Conservation Reserve Program General and Grasslands Signups</w:t>
                  </w:r>
                  <w:bookmarkEnd w:id="0"/>
                </w:p>
                <w:tbl>
                  <w:tblPr>
                    <w:tblW w:w="5000" w:type="pct"/>
                    <w:tblCellMar>
                      <w:left w:w="0" w:type="dxa"/>
                      <w:right w:w="0" w:type="dxa"/>
                    </w:tblCellMar>
                    <w:tblLook w:val="04A0" w:firstRow="1" w:lastRow="0" w:firstColumn="1" w:lastColumn="0" w:noHBand="0" w:noVBand="1"/>
                  </w:tblPr>
                  <w:tblGrid>
                    <w:gridCol w:w="8760"/>
                  </w:tblGrid>
                  <w:tr w:rsidR="004A3FFE" w14:paraId="6686BCE7" w14:textId="77777777">
                    <w:tc>
                      <w:tcPr>
                        <w:tcW w:w="0" w:type="auto"/>
                        <w:vAlign w:val="center"/>
                        <w:hideMark/>
                      </w:tcPr>
                      <w:p w14:paraId="19E41420" w14:textId="3E3AAD7A" w:rsidR="004A3FFE" w:rsidRDefault="004A3FFE">
                        <w:pPr>
                          <w:spacing w:after="150"/>
                          <w:rPr>
                            <w:rFonts w:ascii="Arial" w:hAnsi="Arial" w:cs="Arial"/>
                            <w:color w:val="000000"/>
                            <w:sz w:val="21"/>
                            <w:szCs w:val="21"/>
                          </w:rPr>
                        </w:pPr>
                        <w:r>
                          <w:rPr>
                            <w:noProof/>
                          </w:rPr>
                          <w:drawing>
                            <wp:anchor distT="0" distB="0" distL="41275" distR="41275" simplePos="0" relativeHeight="251659264" behindDoc="0" locked="0" layoutInCell="1" allowOverlap="0" wp14:anchorId="34004842" wp14:editId="0EF3E8E7">
                              <wp:simplePos x="0" y="0"/>
                              <wp:positionH relativeFrom="column">
                                <wp:align>right</wp:align>
                              </wp:positionH>
                              <wp:positionV relativeFrom="line">
                                <wp:posOffset>0</wp:posOffset>
                              </wp:positionV>
                              <wp:extent cx="1704975" cy="1276350"/>
                              <wp:effectExtent l="0" t="0" r="9525" b="0"/>
                              <wp:wrapSquare wrapText="bothSides"/>
                              <wp:docPr id="2" name="Picture 2" descr="CRP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P Field"/>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has set a July 23, 2021, deadline for agricultural producers and landowners to apply for the Conservation Reserve Program (CRP) General signup 56. Additionally, USDA’s Farm Service Agency (FSA) will accept applications for CRP Grasslands from July 12 to August 20. This year, USDA updated both signup options to provide greater incentives for producers and increase its conservation benefits, including reducing the impacts of climate change.</w:t>
                        </w:r>
                      </w:p>
                      <w:p w14:paraId="5DE4D6CE" w14:textId="77777777" w:rsidR="004A3FFE" w:rsidRDefault="004A3FFE">
                        <w:pPr>
                          <w:spacing w:after="150"/>
                          <w:rPr>
                            <w:rFonts w:ascii="Arial" w:hAnsi="Arial" w:cs="Arial"/>
                            <w:color w:val="000000"/>
                            <w:sz w:val="21"/>
                            <w:szCs w:val="21"/>
                          </w:rPr>
                        </w:pPr>
                        <w:r>
                          <w:rPr>
                            <w:rFonts w:ascii="Arial" w:hAnsi="Arial" w:cs="Arial"/>
                            <w:color w:val="000000"/>
                            <w:sz w:val="21"/>
                            <w:szCs w:val="21"/>
                          </w:rPr>
                          <w:t>Both signups are competitive and will provide for annual rental payments for land devoted to conservation purposes.</w:t>
                        </w:r>
                      </w:p>
                      <w:p w14:paraId="2F118C1B" w14:textId="77777777" w:rsidR="004A3FFE" w:rsidRDefault="004A3FFE">
                        <w:pPr>
                          <w:spacing w:after="150"/>
                          <w:rPr>
                            <w:rFonts w:ascii="Arial" w:hAnsi="Arial" w:cs="Arial"/>
                            <w:color w:val="000000"/>
                            <w:sz w:val="21"/>
                            <w:szCs w:val="21"/>
                          </w:rPr>
                        </w:pPr>
                        <w:r>
                          <w:rPr>
                            <w:rFonts w:ascii="Arial" w:hAnsi="Arial" w:cs="Arial"/>
                            <w:color w:val="000000"/>
                            <w:sz w:val="21"/>
                            <w:szCs w:val="21"/>
                          </w:rPr>
                          <w:t>“Bottom line, CRP now makes more financial sense for producers while also providing a bigger return on investment in terms of natural resource benefits. The General and Grasslands signups are part of a broader suite of tools available through CRP to integrate key conservation practices on our nation’s working lands.”</w:t>
                        </w:r>
                      </w:p>
                      <w:p w14:paraId="4F38B788" w14:textId="77777777" w:rsidR="004A3FFE" w:rsidRDefault="004A3FFE">
                        <w:pPr>
                          <w:spacing w:after="150"/>
                          <w:rPr>
                            <w:rFonts w:ascii="Arial" w:hAnsi="Arial" w:cs="Arial"/>
                            <w:color w:val="000000"/>
                            <w:sz w:val="21"/>
                            <w:szCs w:val="21"/>
                          </w:rPr>
                        </w:pPr>
                        <w:r>
                          <w:rPr>
                            <w:rStyle w:val="Strong"/>
                            <w:rFonts w:ascii="Arial" w:hAnsi="Arial" w:cs="Arial"/>
                            <w:color w:val="000000"/>
                            <w:sz w:val="21"/>
                            <w:szCs w:val="21"/>
                          </w:rPr>
                          <w:t>General Signup</w:t>
                        </w:r>
                      </w:p>
                      <w:p w14:paraId="4DE5C06F" w14:textId="77777777" w:rsidR="004A3FFE" w:rsidRDefault="004A3FFE">
                        <w:pPr>
                          <w:spacing w:after="150"/>
                          <w:rPr>
                            <w:rFonts w:ascii="Arial" w:hAnsi="Arial" w:cs="Arial"/>
                            <w:color w:val="000000"/>
                            <w:sz w:val="21"/>
                            <w:szCs w:val="21"/>
                          </w:rPr>
                        </w:pPr>
                        <w:r>
                          <w:rPr>
                            <w:rFonts w:ascii="Arial" w:hAnsi="Arial" w:cs="Arial"/>
                            <w:color w:val="000000"/>
                            <w:sz w:val="21"/>
                            <w:szCs w:val="21"/>
                          </w:rPr>
                          <w:t>Through CRP, producers and landowners establish long-term, resource-conserving plant species, such as approved grasses or trees, to control soil erosion, improve water quality, and enhance wildlife habitat on cropland.  Lands enrolled in CRP also play a key role in mitigating impacts from climate change, and FSA has added a new Climate-Smart Practice Incentive for practices that sequester carbon and reduce greenhouse gas emissions.</w:t>
                        </w:r>
                      </w:p>
                      <w:p w14:paraId="02144EF9" w14:textId="77777777" w:rsidR="004A3FFE" w:rsidRDefault="004A3FFE">
                        <w:pPr>
                          <w:spacing w:after="150"/>
                          <w:rPr>
                            <w:rFonts w:ascii="Arial" w:hAnsi="Arial" w:cs="Arial"/>
                            <w:color w:val="000000"/>
                            <w:sz w:val="21"/>
                            <w:szCs w:val="21"/>
                          </w:rPr>
                        </w:pPr>
                        <w:r>
                          <w:rPr>
                            <w:rFonts w:ascii="Arial" w:hAnsi="Arial" w:cs="Arial"/>
                            <w:color w:val="000000"/>
                            <w:sz w:val="21"/>
                            <w:szCs w:val="21"/>
                          </w:rPr>
                          <w:t>FSA is also adding a one-time “inflationary” adjustment for payment rates, as well as having more flexibility on adjusting soil rental rates.</w:t>
                        </w:r>
                      </w:p>
                      <w:p w14:paraId="60266878" w14:textId="77777777" w:rsidR="004A3FFE" w:rsidRDefault="004A3FFE">
                        <w:pPr>
                          <w:spacing w:after="150"/>
                          <w:rPr>
                            <w:rFonts w:ascii="Arial" w:hAnsi="Arial" w:cs="Arial"/>
                            <w:color w:val="000000"/>
                            <w:sz w:val="21"/>
                            <w:szCs w:val="21"/>
                          </w:rPr>
                        </w:pPr>
                        <w:r>
                          <w:rPr>
                            <w:rFonts w:ascii="Arial" w:hAnsi="Arial" w:cs="Arial"/>
                            <w:color w:val="000000"/>
                            <w:sz w:val="21"/>
                            <w:szCs w:val="21"/>
                          </w:rPr>
                          <w:t xml:space="preserve">FSA opened the </w:t>
                        </w:r>
                        <w:hyperlink r:id="rId7" w:history="1">
                          <w:r>
                            <w:rPr>
                              <w:rStyle w:val="Hyperlink"/>
                              <w:rFonts w:ascii="Arial" w:hAnsi="Arial" w:cs="Arial"/>
                              <w:color w:val="1953CB"/>
                              <w:sz w:val="21"/>
                              <w:szCs w:val="21"/>
                            </w:rPr>
                            <w:t>General Signup</w:t>
                          </w:r>
                        </w:hyperlink>
                        <w:r>
                          <w:rPr>
                            <w:rFonts w:ascii="Arial" w:hAnsi="Arial" w:cs="Arial"/>
                            <w:color w:val="000000"/>
                            <w:sz w:val="21"/>
                            <w:szCs w:val="21"/>
                          </w:rPr>
                          <w:t xml:space="preserve"> in January 2021 and extended the original deadline to July 23, 2021, to enable producers to consider FSA’s new improvements to the program.</w:t>
                        </w:r>
                      </w:p>
                      <w:p w14:paraId="3C829E69" w14:textId="77777777" w:rsidR="004A3FFE" w:rsidRDefault="004A3FFE">
                        <w:pPr>
                          <w:spacing w:after="150"/>
                          <w:rPr>
                            <w:rFonts w:ascii="Arial" w:hAnsi="Arial" w:cs="Arial"/>
                            <w:color w:val="000000"/>
                            <w:sz w:val="21"/>
                            <w:szCs w:val="21"/>
                          </w:rPr>
                        </w:pPr>
                        <w:r>
                          <w:rPr>
                            <w:rStyle w:val="Strong"/>
                            <w:rFonts w:ascii="Arial" w:hAnsi="Arial" w:cs="Arial"/>
                            <w:color w:val="000000"/>
                            <w:sz w:val="21"/>
                            <w:szCs w:val="21"/>
                          </w:rPr>
                          <w:t>Grasslands Signup</w:t>
                        </w:r>
                      </w:p>
                      <w:p w14:paraId="7A03F251" w14:textId="77777777" w:rsidR="004A3FFE" w:rsidRDefault="004A3FFE">
                        <w:pPr>
                          <w:spacing w:after="150"/>
                          <w:rPr>
                            <w:rFonts w:ascii="Arial" w:hAnsi="Arial" w:cs="Arial"/>
                            <w:color w:val="000000"/>
                            <w:sz w:val="21"/>
                            <w:szCs w:val="21"/>
                          </w:rPr>
                        </w:pPr>
                        <w:hyperlink r:id="rId8" w:tooltip="CRP Grasslands Signup Factsheet" w:history="1">
                          <w:r>
                            <w:rPr>
                              <w:rStyle w:val="Hyperlink"/>
                              <w:rFonts w:ascii="Arial" w:hAnsi="Arial" w:cs="Arial"/>
                              <w:color w:val="1953CB"/>
                              <w:sz w:val="21"/>
                              <w:szCs w:val="21"/>
                            </w:rPr>
                            <w:t>CRP Grasslands</w:t>
                          </w:r>
                        </w:hyperlink>
                        <w:r>
                          <w:rPr>
                            <w:rFonts w:ascii="Arial" w:hAnsi="Arial" w:cs="Arial"/>
                            <w:color w:val="000000"/>
                            <w:sz w:val="21"/>
                            <w:szCs w:val="21"/>
                          </w:rPr>
                          <w:t> helps landowners and operators protect grassland, including rangeland, and pastureland and certain other lands, while maintaining the areas as grazing lands. Protecting grasslands contributes positively to the economy of many regions, provides biodiversity of plant and animal populations, and improves environmental quality.</w:t>
                        </w:r>
                      </w:p>
                      <w:p w14:paraId="0473F4E8" w14:textId="77777777" w:rsidR="004A3FFE" w:rsidRDefault="004A3FFE">
                        <w:pPr>
                          <w:spacing w:after="150"/>
                          <w:rPr>
                            <w:rFonts w:ascii="Arial" w:hAnsi="Arial" w:cs="Arial"/>
                            <w:color w:val="000000"/>
                            <w:sz w:val="21"/>
                            <w:szCs w:val="21"/>
                          </w:rPr>
                        </w:pPr>
                        <w:r>
                          <w:rPr>
                            <w:rFonts w:ascii="Arial" w:hAnsi="Arial" w:cs="Arial"/>
                            <w:color w:val="000000"/>
                            <w:sz w:val="21"/>
                            <w:szCs w:val="21"/>
                          </w:rPr>
                          <w:t>FSA has updated the Grasslands Signup to establish a minimum rental rate of $15 per acre, as well as new National Grassland Priority Zones.</w:t>
                        </w:r>
                      </w:p>
                      <w:p w14:paraId="6F8715E9" w14:textId="77777777" w:rsidR="004A3FFE" w:rsidRDefault="004A3FFE">
                        <w:pPr>
                          <w:spacing w:after="150"/>
                          <w:rPr>
                            <w:rFonts w:ascii="Arial" w:hAnsi="Arial" w:cs="Arial"/>
                            <w:color w:val="000000"/>
                            <w:sz w:val="21"/>
                            <w:szCs w:val="21"/>
                          </w:rPr>
                        </w:pPr>
                        <w:r>
                          <w:rPr>
                            <w:rStyle w:val="Strong"/>
                            <w:rFonts w:ascii="Arial" w:hAnsi="Arial" w:cs="Arial"/>
                            <w:color w:val="000000"/>
                            <w:sz w:val="21"/>
                            <w:szCs w:val="21"/>
                          </w:rPr>
                          <w:t>How to Sign Up</w:t>
                        </w:r>
                      </w:p>
                      <w:p w14:paraId="2C607D3D" w14:textId="77777777" w:rsidR="004A3FFE" w:rsidRDefault="004A3FFE">
                        <w:pPr>
                          <w:spacing w:after="150"/>
                          <w:rPr>
                            <w:rFonts w:ascii="Arial" w:hAnsi="Arial" w:cs="Arial"/>
                            <w:color w:val="000000"/>
                            <w:sz w:val="21"/>
                            <w:szCs w:val="21"/>
                          </w:rPr>
                        </w:pPr>
                        <w:r>
                          <w:rPr>
                            <w:rFonts w:ascii="Arial" w:hAnsi="Arial" w:cs="Arial"/>
                            <w:color w:val="000000"/>
                            <w:sz w:val="21"/>
                            <w:szCs w:val="21"/>
                          </w:rPr>
                          <w:t xml:space="preserve">To enroll in the CRP General signup, producers and landowners should contact their local </w:t>
                        </w:r>
                        <w:hyperlink r:id="rId9"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by the July 23 deadline. To enroll in the CRP Grasslands signup, they should contact USDA by the August 20 deadline. While USDA offices may have limited visitors because of the pandemic, Service Center staff continue to work with agricultural producers via phone, email, and other digital tools. To work with FSA, producers and landowners should contact their local </w:t>
                        </w:r>
                        <w:hyperlink r:id="rId10"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Contact information can be found at </w:t>
                        </w:r>
                        <w:hyperlink r:id="rId11"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0CB14EBA" w14:textId="77777777" w:rsidR="004A3FFE" w:rsidRDefault="004A3FFE">
                        <w:pPr>
                          <w:spacing w:after="150"/>
                          <w:rPr>
                            <w:rFonts w:ascii="Arial" w:hAnsi="Arial" w:cs="Arial"/>
                            <w:color w:val="000000"/>
                            <w:sz w:val="21"/>
                            <w:szCs w:val="21"/>
                          </w:rPr>
                        </w:pPr>
                        <w:r>
                          <w:rPr>
                            <w:rStyle w:val="Strong"/>
                            <w:rFonts w:ascii="Arial" w:hAnsi="Arial" w:cs="Arial"/>
                            <w:color w:val="000000"/>
                            <w:sz w:val="21"/>
                            <w:szCs w:val="21"/>
                          </w:rPr>
                          <w:t>More Information on CRP</w:t>
                        </w:r>
                      </w:p>
                      <w:p w14:paraId="0925E694" w14:textId="77777777" w:rsidR="004A3FFE" w:rsidRDefault="004A3FFE">
                        <w:pPr>
                          <w:spacing w:after="150"/>
                          <w:rPr>
                            <w:rFonts w:ascii="Arial" w:hAnsi="Arial" w:cs="Arial"/>
                            <w:color w:val="000000"/>
                            <w:sz w:val="21"/>
                            <w:szCs w:val="21"/>
                          </w:rPr>
                        </w:pPr>
                        <w:r>
                          <w:rPr>
                            <w:rFonts w:ascii="Arial" w:hAnsi="Arial" w:cs="Arial"/>
                            <w:color w:val="000000"/>
                            <w:sz w:val="21"/>
                            <w:szCs w:val="21"/>
                          </w:rPr>
                          <w:t>Signed into law in 1985, CRP is one of the largest voluntary private-lands conservation programs in the United States. It was originally intended to primarily control soil erosion and potentially stabilize commodity prices by taking marginal lands out of production. The program has evolved over the years, providing many conservation and economic benefits. The program marked its 35-year anniversary this past December.</w:t>
                        </w:r>
                      </w:p>
                      <w:p w14:paraId="0E0B674D" w14:textId="77777777" w:rsidR="004A3FFE" w:rsidRDefault="004A3FFE">
                        <w:pPr>
                          <w:rPr>
                            <w:rFonts w:ascii="Arial" w:hAnsi="Arial" w:cs="Arial"/>
                            <w:color w:val="000000"/>
                            <w:sz w:val="21"/>
                            <w:szCs w:val="21"/>
                          </w:rPr>
                        </w:pPr>
                        <w:r>
                          <w:rPr>
                            <w:rStyle w:val="Strong"/>
                            <w:rFonts w:ascii="Arial" w:hAnsi="Arial" w:cs="Arial"/>
                            <w:color w:val="000000"/>
                            <w:sz w:val="21"/>
                            <w:szCs w:val="21"/>
                          </w:rPr>
                          <w:t> </w:t>
                        </w:r>
                      </w:p>
                    </w:tc>
                  </w:tr>
                </w:tbl>
                <w:p w14:paraId="5A09D224" w14:textId="77777777" w:rsidR="004A3FFE" w:rsidRDefault="004A3FFE" w:rsidP="004A3FFE">
                  <w:pPr>
                    <w:jc w:val="center"/>
                    <w:rPr>
                      <w:rFonts w:eastAsia="Times New Roman"/>
                    </w:rPr>
                  </w:pPr>
                  <w:r>
                    <w:rPr>
                      <w:rFonts w:eastAsia="Times New Roman"/>
                    </w:rPr>
                    <w:pict w14:anchorId="250A6366">
                      <v:rect id="_x0000_i1027" style="width:468pt;height:.95pt" o:hralign="center" o:hrstd="t" o:hrnoshade="t" o:hr="t" fillcolor="#aaa" stroked="f"/>
                    </w:pict>
                  </w:r>
                </w:p>
                <w:p w14:paraId="45CFA251"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1" w:name="link_2"/>
                  <w:r>
                    <w:rPr>
                      <w:rFonts w:ascii="Arial" w:eastAsia="Times New Roman" w:hAnsi="Arial" w:cs="Arial"/>
                      <w:color w:val="000000"/>
                      <w:sz w:val="36"/>
                      <w:szCs w:val="36"/>
                    </w:rPr>
                    <w:t>Environmental Review Required Before Project Implementation</w:t>
                  </w:r>
                  <w:bookmarkEnd w:id="1"/>
                </w:p>
                <w:p w14:paraId="4992E534"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The National Environmental Policy Act (NEPA) requires Federal agencies to consider all potential environmental impacts for federally funded projects before the project is approved.</w:t>
                  </w:r>
                </w:p>
                <w:p w14:paraId="236FC553"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For all Farm Service Agency (FSA) programs, an environmental review must be completed before actions are approved, such as site preparation or ground disturbance. These programs include, </w:t>
                  </w:r>
                  <w:r>
                    <w:rPr>
                      <w:rStyle w:val="Strong"/>
                      <w:rFonts w:ascii="Arial" w:hAnsi="Arial" w:cs="Arial"/>
                      <w:color w:val="000000"/>
                      <w:sz w:val="21"/>
                      <w:szCs w:val="21"/>
                    </w:rPr>
                    <w:t>but are not limited to</w:t>
                  </w:r>
                  <w:r>
                    <w:rPr>
                      <w:rFonts w:ascii="Arial" w:hAnsi="Arial" w:cs="Arial"/>
                      <w:color w:val="000000"/>
                      <w:sz w:val="21"/>
                      <w:szCs w:val="21"/>
                    </w:rPr>
                    <w:t>, the Emergency Conservation Program (ECP), Farm Storage Facility Loan (FSFL) program and farm loans. If project implementation begins before FSA has completed an environmental review, the request will be denied. Although there are exceptions regarding the Stafford Act and emergencies, it’s important to wait until you receive written approval of your project proposal before starting any actions.</w:t>
                  </w:r>
                </w:p>
                <w:p w14:paraId="11F1B4EE"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p w14:paraId="00B6D5A6" w14:textId="77777777" w:rsidR="004A3FFE" w:rsidRDefault="004A3FFE" w:rsidP="004A3FFE">
                  <w:pPr>
                    <w:jc w:val="center"/>
                    <w:rPr>
                      <w:rFonts w:eastAsia="Times New Roman"/>
                    </w:rPr>
                  </w:pPr>
                  <w:r>
                    <w:rPr>
                      <w:rFonts w:eastAsia="Times New Roman"/>
                    </w:rPr>
                    <w:pict w14:anchorId="1A93FB07">
                      <v:rect id="_x0000_i1028" style="width:468pt;height:.95pt" o:hralign="center" o:hrstd="t" o:hrnoshade="t" o:hr="t" fillcolor="#aaa" stroked="f"/>
                    </w:pict>
                  </w:r>
                </w:p>
                <w:p w14:paraId="012EE3DA"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2" w:name="link_3"/>
                  <w:r>
                    <w:rPr>
                      <w:rFonts w:ascii="Arial" w:eastAsia="Times New Roman" w:hAnsi="Arial" w:cs="Arial"/>
                      <w:color w:val="000000"/>
                      <w:sz w:val="36"/>
                      <w:szCs w:val="36"/>
                    </w:rPr>
                    <w:t>Disaster Set-Aside (DSA) Program for Farm Loan Borrowers</w:t>
                  </w:r>
                  <w:bookmarkEnd w:id="2"/>
                </w:p>
                <w:p w14:paraId="7EE7CB8E"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Farm Service Agency (FSA) borrowers with farms located in designated primary or contiguous disaster areas who are unable to make their scheduled FSA loan payments should consider the Disaster Set-Aside (DSA) program.</w:t>
                  </w:r>
                </w:p>
                <w:p w14:paraId="1D78F61E"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DSA is available to producers who suffered losses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a natural disaster and relieves immediate and temporary financial stress. FSA is authorized to consider setting aside the portion of a payment/s needed for the operation to </w:t>
                  </w:r>
                  <w:proofErr w:type="gramStart"/>
                  <w:r>
                    <w:rPr>
                      <w:rFonts w:ascii="Arial" w:hAnsi="Arial" w:cs="Arial"/>
                      <w:color w:val="000000"/>
                      <w:sz w:val="21"/>
                      <w:szCs w:val="21"/>
                    </w:rPr>
                    <w:t>continue on</w:t>
                  </w:r>
                  <w:proofErr w:type="gramEnd"/>
                  <w:r>
                    <w:rPr>
                      <w:rFonts w:ascii="Arial" w:hAnsi="Arial" w:cs="Arial"/>
                      <w:color w:val="000000"/>
                      <w:sz w:val="21"/>
                      <w:szCs w:val="21"/>
                    </w:rPr>
                    <w:t xml:space="preserve"> a viable scale.</w:t>
                  </w:r>
                </w:p>
                <w:p w14:paraId="44869ADD"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Borrowers must have at least two years left on the term of their loan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qualify. </w:t>
                  </w:r>
                </w:p>
                <w:p w14:paraId="7AEFF270"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determine eligibility. </w:t>
                  </w:r>
                </w:p>
                <w:p w14:paraId="6234B0F1"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All farm loans must be current or less than 90 days past due at the time the DSA application is complete. Borrowers may not set aside more than one installment on each loan. </w:t>
                  </w:r>
                </w:p>
                <w:p w14:paraId="1A74E9F1"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The amount set-aside, including interest accrued on the principal portion of the set-aside, is due on or before the final due date of the loan. </w:t>
                  </w:r>
                </w:p>
                <w:p w14:paraId="123F749B"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12" w:history="1">
                    <w:r>
                      <w:rPr>
                        <w:rStyle w:val="Hyperlink"/>
                        <w:rFonts w:ascii="Arial" w:hAnsi="Arial" w:cs="Arial"/>
                        <w:color w:val="1953CB"/>
                        <w:sz w:val="21"/>
                        <w:szCs w:val="21"/>
                      </w:rPr>
                      <w:t>fsa.usda.gov</w:t>
                    </w:r>
                  </w:hyperlink>
                  <w:r>
                    <w:rPr>
                      <w:rFonts w:ascii="Arial" w:hAnsi="Arial" w:cs="Arial"/>
                      <w:color w:val="000000"/>
                      <w:sz w:val="21"/>
                      <w:szCs w:val="21"/>
                    </w:rPr>
                    <w:t>.</w:t>
                  </w:r>
                </w:p>
                <w:p w14:paraId="27691EAC" w14:textId="77777777" w:rsidR="004A3FFE" w:rsidRDefault="004A3FFE" w:rsidP="004A3FFE">
                  <w:pPr>
                    <w:jc w:val="center"/>
                    <w:rPr>
                      <w:rFonts w:eastAsia="Times New Roman"/>
                    </w:rPr>
                  </w:pPr>
                  <w:r>
                    <w:rPr>
                      <w:rFonts w:eastAsia="Times New Roman"/>
                    </w:rPr>
                    <w:pict w14:anchorId="3A11ED25">
                      <v:rect id="_x0000_i1029" style="width:468pt;height:.95pt" o:hralign="center" o:hrstd="t" o:hrnoshade="t" o:hr="t" fillcolor="#aaa" stroked="f"/>
                    </w:pict>
                  </w:r>
                </w:p>
                <w:p w14:paraId="06CA8773"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FSA Offers Loan Servicing Options</w:t>
                  </w:r>
                  <w:bookmarkEnd w:id="3"/>
                </w:p>
                <w:p w14:paraId="22BB0DE3"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There are options for Farm Service Agency (FSA) loan customers during financial stress. If you are a borrower who is unable to make payments on a loan, contact your local FSA Farm Loan Manager to learn about your options.</w:t>
                  </w:r>
                </w:p>
                <w:p w14:paraId="7D107F66" w14:textId="77777777" w:rsidR="004A3FFE" w:rsidRDefault="004A3FFE">
                  <w:pPr>
                    <w:spacing w:before="150" w:after="225"/>
                    <w:rPr>
                      <w:rFonts w:ascii="Arial" w:hAnsi="Arial" w:cs="Arial"/>
                      <w:color w:val="000000"/>
                      <w:sz w:val="21"/>
                      <w:szCs w:val="21"/>
                    </w:rPr>
                  </w:pPr>
                  <w:r>
                    <w:rPr>
                      <w:rStyle w:val="Strong"/>
                      <w:rFonts w:ascii="Arial" w:hAnsi="Arial" w:cs="Arial"/>
                      <w:color w:val="000000"/>
                      <w:sz w:val="21"/>
                      <w:szCs w:val="21"/>
                    </w:rPr>
                    <w:t> </w:t>
                  </w:r>
                </w:p>
                <w:p w14:paraId="7CF46642" w14:textId="77777777" w:rsidR="004A3FFE" w:rsidRDefault="004A3FFE" w:rsidP="004A3FFE">
                  <w:pPr>
                    <w:jc w:val="center"/>
                    <w:rPr>
                      <w:rFonts w:eastAsia="Times New Roman"/>
                    </w:rPr>
                  </w:pPr>
                  <w:r>
                    <w:rPr>
                      <w:rFonts w:eastAsia="Times New Roman"/>
                    </w:rPr>
                    <w:pict w14:anchorId="5CC387B8">
                      <v:rect id="_x0000_i1030" style="width:468pt;height:.95pt" o:hralign="center" o:hrstd="t" o:hrnoshade="t" o:hr="t" fillcolor="#aaa" stroked="f"/>
                    </w:pict>
                  </w:r>
                </w:p>
                <w:p w14:paraId="4703FC12"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 xml:space="preserve">Making Farm Reconstitutions </w:t>
                  </w:r>
                  <w:bookmarkEnd w:id="4"/>
                </w:p>
                <w:p w14:paraId="7EEA0F62"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When changes in farm ownership or operation take place, a farm </w:t>
                  </w:r>
                  <w:r>
                    <w:rPr>
                      <w:rStyle w:val="Emphasis"/>
                      <w:rFonts w:ascii="Arial" w:hAnsi="Arial" w:cs="Arial"/>
                      <w:color w:val="000000"/>
                      <w:sz w:val="21"/>
                      <w:szCs w:val="21"/>
                    </w:rPr>
                    <w:t xml:space="preserve">reconstitution </w:t>
                  </w:r>
                  <w:r>
                    <w:rPr>
                      <w:rFonts w:ascii="Arial" w:hAnsi="Arial" w:cs="Arial"/>
                      <w:color w:val="000000"/>
                      <w:sz w:val="21"/>
                      <w:szCs w:val="21"/>
                    </w:rPr>
                    <w:t>is necessary. The reconstitution — or recon — is the process of combining or dividing farms or tracts of land based on the farming operation.</w:t>
                  </w:r>
                </w:p>
                <w:p w14:paraId="745D226D"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To be effective for the current Fiscal Year (FY), farm combinations and farm divisions must be requested by </w:t>
                  </w:r>
                  <w:r>
                    <w:rPr>
                      <w:rStyle w:val="Strong"/>
                      <w:rFonts w:ascii="Arial" w:hAnsi="Arial" w:cs="Arial"/>
                      <w:color w:val="000000"/>
                      <w:sz w:val="21"/>
                      <w:szCs w:val="21"/>
                    </w:rPr>
                    <w:t>August 1 of the FY</w:t>
                  </w:r>
                  <w:r>
                    <w:rPr>
                      <w:rFonts w:ascii="Arial" w:hAnsi="Arial" w:cs="Arial"/>
                      <w:color w:val="000000"/>
                      <w:sz w:val="21"/>
                      <w:szCs w:val="21"/>
                    </w:rPr>
                    <w:t xml:space="preserve"> for farms subject to the Agriculture Risk Coverage (ARC) and Price Loss Coverage (PLC) program. A reconstitution </w:t>
                  </w:r>
                  <w:proofErr w:type="gramStart"/>
                  <w:r>
                    <w:rPr>
                      <w:rFonts w:ascii="Arial" w:hAnsi="Arial" w:cs="Arial"/>
                      <w:color w:val="000000"/>
                      <w:sz w:val="21"/>
                      <w:szCs w:val="21"/>
                    </w:rPr>
                    <w:t>is considered to be</w:t>
                  </w:r>
                  <w:proofErr w:type="gramEnd"/>
                  <w:r>
                    <w:rPr>
                      <w:rFonts w:ascii="Arial" w:hAnsi="Arial" w:cs="Arial"/>
                      <w:color w:val="000000"/>
                      <w:sz w:val="21"/>
                      <w:szCs w:val="21"/>
                    </w:rPr>
                    <w:t xml:space="preserve"> requested when all of the required signatures are on FSA-155 and all other applicable documentation, such as proof of ownership, is submitted.</w:t>
                  </w:r>
                </w:p>
                <w:p w14:paraId="33FEAB4E"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Total Conservation Reserve Program (CRP) and non-ARC/PLC farms may be reconstituted at any time. </w:t>
                  </w:r>
                </w:p>
                <w:p w14:paraId="4BFEA4FB"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The following are the different methods used when doing a farm recon:</w:t>
                  </w:r>
                </w:p>
                <w:p w14:paraId="030BFC44" w14:textId="77777777" w:rsidR="004A3FFE" w:rsidRDefault="004A3FFE" w:rsidP="002C5075">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Estate Method</w:t>
                  </w:r>
                  <w:r>
                    <w:rPr>
                      <w:rFonts w:ascii="Arial" w:eastAsia="Times New Roman" w:hAnsi="Arial" w:cs="Arial"/>
                      <w:color w:val="000000"/>
                      <w:sz w:val="21"/>
                      <w:szCs w:val="21"/>
                    </w:rPr>
                    <w:t xml:space="preserve"> — the division of bases, </w:t>
                  </w:r>
                  <w:proofErr w:type="gramStart"/>
                  <w:r>
                    <w:rPr>
                      <w:rFonts w:ascii="Arial" w:eastAsia="Times New Roman" w:hAnsi="Arial" w:cs="Arial"/>
                      <w:color w:val="000000"/>
                      <w:sz w:val="21"/>
                      <w:szCs w:val="21"/>
                    </w:rPr>
                    <w:t>allotments</w:t>
                  </w:r>
                  <w:proofErr w:type="gramEnd"/>
                  <w:r>
                    <w:rPr>
                      <w:rFonts w:ascii="Arial" w:eastAsia="Times New Roman" w:hAnsi="Arial" w:cs="Arial"/>
                      <w:color w:val="000000"/>
                      <w:sz w:val="21"/>
                      <w:szCs w:val="21"/>
                    </w:rPr>
                    <w:t xml:space="preserve"> and quotas for a parent farm among heirs in settling an estate</w:t>
                  </w:r>
                </w:p>
                <w:p w14:paraId="7DD97053" w14:textId="77777777" w:rsidR="004A3FFE" w:rsidRDefault="004A3FFE" w:rsidP="002C5075">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Designation of Landowner Method</w:t>
                  </w:r>
                  <w:r>
                    <w:rPr>
                      <w:rFonts w:ascii="Arial" w:eastAsia="Times New Roman" w:hAnsi="Arial" w:cs="Arial"/>
                      <w:color w:val="000000"/>
                      <w:sz w:val="21"/>
                      <w:szCs w:val="21"/>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use this method, the land sold must have been owned for at least three years, or a waiver granted, and the buyer and seller must sign a Memorandum of Understanding</w:t>
                  </w:r>
                </w:p>
                <w:p w14:paraId="19B72621" w14:textId="77777777" w:rsidR="004A3FFE" w:rsidRDefault="004A3FFE" w:rsidP="002C5075">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DCP Cropland Method</w:t>
                  </w:r>
                  <w:r>
                    <w:rPr>
                      <w:rFonts w:ascii="Arial" w:eastAsia="Times New Roman" w:hAnsi="Arial" w:cs="Arial"/>
                      <w:color w:val="000000"/>
                      <w:sz w:val="21"/>
                      <w:szCs w:val="21"/>
                    </w:rPr>
                    <w:t xml:space="preserve"> — the division of bases in the same proportion that the DCP cropland for each resulting tract relates to the DCP cropland on the parent tract</w:t>
                  </w:r>
                </w:p>
                <w:p w14:paraId="223E81DA" w14:textId="77777777" w:rsidR="004A3FFE" w:rsidRDefault="004A3FFE" w:rsidP="002C5075">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Default Method</w:t>
                  </w:r>
                  <w:r>
                    <w:rPr>
                      <w:rFonts w:ascii="Arial" w:eastAsia="Times New Roman" w:hAnsi="Arial" w:cs="Arial"/>
                      <w:color w:val="000000"/>
                      <w:sz w:val="21"/>
                      <w:szCs w:val="21"/>
                    </w:rPr>
                    <w:t xml:space="preserve"> — the division of bases for a parent farm with each tract maintaining the bases attributed to the tract level when the reconstitution is initiated in the system.</w:t>
                  </w:r>
                </w:p>
                <w:p w14:paraId="53085512"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For questions on your farm reconstitution, contact your local County USDA Service Center.</w:t>
                  </w:r>
                </w:p>
                <w:p w14:paraId="01B47B52" w14:textId="77777777" w:rsidR="004A3FFE" w:rsidRDefault="004A3FFE" w:rsidP="004A3FFE">
                  <w:pPr>
                    <w:jc w:val="center"/>
                    <w:rPr>
                      <w:rFonts w:eastAsia="Times New Roman"/>
                    </w:rPr>
                  </w:pPr>
                  <w:r>
                    <w:rPr>
                      <w:rFonts w:eastAsia="Times New Roman"/>
                    </w:rPr>
                    <w:pict w14:anchorId="543A9188">
                      <v:rect id="_x0000_i1031" style="width:468pt;height:.95pt" o:hralign="center" o:hrstd="t" o:hrnoshade="t" o:hr="t" fillcolor="#aaa" stroked="f"/>
                    </w:pict>
                  </w:r>
                </w:p>
                <w:p w14:paraId="03EB9BDC" w14:textId="77777777" w:rsidR="004A3FFE" w:rsidRDefault="004A3FFE">
                  <w:pPr>
                    <w:pStyle w:val="Heading1"/>
                    <w:spacing w:before="0" w:beforeAutospacing="0" w:after="150" w:afterAutospacing="0"/>
                    <w:rPr>
                      <w:rFonts w:ascii="Arial" w:eastAsia="Times New Roman" w:hAnsi="Arial" w:cs="Arial"/>
                      <w:color w:val="000000"/>
                      <w:sz w:val="36"/>
                      <w:szCs w:val="36"/>
                    </w:rPr>
                  </w:pPr>
                  <w:bookmarkStart w:id="5" w:name="link_6"/>
                  <w:r>
                    <w:rPr>
                      <w:rFonts w:ascii="Arial" w:eastAsia="Times New Roman" w:hAnsi="Arial" w:cs="Arial"/>
                      <w:color w:val="000000"/>
                      <w:sz w:val="36"/>
                      <w:szCs w:val="36"/>
                    </w:rPr>
                    <w:t>USDA Offers Targeted Farm Loan Funding for Underserved Groups and Beginning Farmers</w:t>
                  </w:r>
                  <w:bookmarkEnd w:id="5"/>
                </w:p>
                <w:p w14:paraId="00C6FAB4"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The USDA Farm Service Agency (FSA) reminds producers that FSA offers targeted farm ownership and farm operating loans to assist underserved applicants and beginning farmers and ranchers.</w:t>
                  </w:r>
                </w:p>
                <w:p w14:paraId="6C8C8333"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African Americans, American Indians and Alaskan Natives, Hispanics and Asians and Pacific Islanders.</w:t>
                  </w:r>
                </w:p>
                <w:p w14:paraId="659238D6"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359B4B3A"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The direct and guaranteed loan program provides for two types of loans:  farm ownership loans and farm operating loans. In addition to customary farm operating and ownership loans, FSA offers Microloans through the direct loan program. Microloans focus on the financing needs of small, beginning farmer, niche, and non-traditional farm operations. Microloans are available for both ownership and operating finance needs. To learn more about microloans, visit </w:t>
                  </w:r>
                  <w:hyperlink r:id="rId13" w:history="1">
                    <w:r>
                      <w:rPr>
                        <w:rStyle w:val="Hyperlink"/>
                        <w:rFonts w:ascii="Arial" w:hAnsi="Arial" w:cs="Arial"/>
                        <w:color w:val="1953CB"/>
                        <w:sz w:val="21"/>
                        <w:szCs w:val="21"/>
                      </w:rPr>
                      <w:t>fsa.usda.gov/microloans</w:t>
                    </w:r>
                  </w:hyperlink>
                  <w:r>
                    <w:rPr>
                      <w:rFonts w:ascii="Arial" w:hAnsi="Arial" w:cs="Arial"/>
                      <w:color w:val="000000"/>
                      <w:sz w:val="21"/>
                      <w:szCs w:val="21"/>
                    </w:rPr>
                    <w:t>.</w:t>
                  </w:r>
                </w:p>
                <w:p w14:paraId="21A1AF9D"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To qualify as a beginning producer, the individual or entity must meet the eligibility requirements outlined for direct or guaranteed loans. Individuals and all entity members must have operated a farm for less than 10 years. Applicants must materially or substantially participate in the operation.</w:t>
                  </w:r>
                </w:p>
                <w:p w14:paraId="52DACEB5"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For more information on FSA’s farm loan programs and targeted underserved and beginning farmer guidelines, contact your local County USDA Service Center or visit </w:t>
                  </w:r>
                  <w:hyperlink r:id="rId14"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farmloans</w:t>
                    </w:r>
                    <w:proofErr w:type="spellEnd"/>
                  </w:hyperlink>
                  <w:r>
                    <w:rPr>
                      <w:rFonts w:ascii="Arial" w:hAnsi="Arial" w:cs="Arial"/>
                      <w:color w:val="000000"/>
                      <w:sz w:val="21"/>
                      <w:szCs w:val="21"/>
                    </w:rPr>
                    <w:t>.</w:t>
                  </w:r>
                </w:p>
                <w:p w14:paraId="2F38EA32" w14:textId="77777777" w:rsidR="004A3FFE" w:rsidRDefault="004A3FFE" w:rsidP="004A3FFE">
                  <w:pPr>
                    <w:jc w:val="center"/>
                    <w:rPr>
                      <w:rFonts w:eastAsia="Times New Roman"/>
                    </w:rPr>
                  </w:pPr>
                  <w:r>
                    <w:rPr>
                      <w:rFonts w:eastAsia="Times New Roman"/>
                    </w:rPr>
                    <w:pict w14:anchorId="65EDF9A0">
                      <v:rect id="_x0000_i1032" style="width:468pt;height:.95pt" o:hralign="center" o:hrstd="t" o:hrnoshade="t" o:hr="t" fillcolor="#aaa" stroked="f"/>
                    </w:pict>
                  </w:r>
                </w:p>
                <w:p w14:paraId="357D3DFB"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p w14:paraId="20BF9A68" w14:textId="77777777" w:rsidR="004A3FFE" w:rsidRDefault="004A3FFE">
                  <w:pPr>
                    <w:spacing w:before="150" w:after="225"/>
                    <w:rPr>
                      <w:rFonts w:ascii="Arial" w:hAnsi="Arial" w:cs="Arial"/>
                      <w:color w:val="000000"/>
                      <w:sz w:val="21"/>
                      <w:szCs w:val="21"/>
                    </w:rPr>
                  </w:pPr>
                  <w:r>
                    <w:rPr>
                      <w:rFonts w:ascii="Arial" w:hAnsi="Arial" w:cs="Arial"/>
                      <w:color w:val="000000"/>
                      <w:sz w:val="21"/>
                      <w:szCs w:val="21"/>
                    </w:rPr>
                    <w:t xml:space="preserve">Service Center staff continue to work with agricultural producers via phone, email, and other digital tools. Because of the pandemic, </w:t>
                  </w:r>
                  <w:hyperlink r:id="rId15" w:history="1">
                    <w:r>
                      <w:rPr>
                        <w:rStyle w:val="Hyperlink"/>
                        <w:rFonts w:ascii="Arial" w:hAnsi="Arial" w:cs="Arial"/>
                        <w:color w:val="1953CB"/>
                        <w:sz w:val="21"/>
                        <w:szCs w:val="21"/>
                      </w:rPr>
                      <w:t>USDA Service Centers</w:t>
                    </w:r>
                  </w:hyperlink>
                  <w:r>
                    <w:rPr>
                      <w:rFonts w:ascii="Arial" w:hAnsi="Arial" w:cs="Arial"/>
                      <w:color w:val="000000"/>
                      <w:sz w:val="21"/>
                      <w:szCs w:val="21"/>
                    </w:rPr>
                    <w:t xml:space="preserve"> are open to limited visitors. Contact your Service Center to set up an in-person or phone appointment. Additionally, more information related to USDA’s response and relief for producers can be found at</w:t>
                  </w:r>
                  <w:r>
                    <w:rPr>
                      <w:rStyle w:val="Strong"/>
                      <w:rFonts w:ascii="Arial" w:hAnsi="Arial" w:cs="Arial"/>
                      <w:color w:val="000000"/>
                      <w:sz w:val="21"/>
                      <w:szCs w:val="21"/>
                    </w:rPr>
                    <w:t> </w:t>
                  </w:r>
                  <w:hyperlink r:id="rId16" w:history="1">
                    <w:r>
                      <w:rPr>
                        <w:rStyle w:val="Hyperlink"/>
                        <w:rFonts w:ascii="Arial" w:hAnsi="Arial" w:cs="Arial"/>
                        <w:color w:val="1953CB"/>
                        <w:sz w:val="21"/>
                        <w:szCs w:val="21"/>
                      </w:rPr>
                      <w:t>farmers.gov/coronavirus</w:t>
                    </w:r>
                  </w:hyperlink>
                  <w:r>
                    <w:rPr>
                      <w:rFonts w:ascii="Arial" w:hAnsi="Arial" w:cs="Arial"/>
                      <w:color w:val="000000"/>
                      <w:sz w:val="21"/>
                      <w:szCs w:val="21"/>
                    </w:rPr>
                    <w:t>.</w:t>
                  </w:r>
                </w:p>
              </w:tc>
            </w:tr>
            <w:tr w:rsidR="004A3FFE" w14:paraId="64868CA8" w14:textId="77777777">
              <w:trPr>
                <w:jc w:val="center"/>
              </w:trPr>
              <w:tc>
                <w:tcPr>
                  <w:tcW w:w="5000" w:type="pct"/>
                  <w:shd w:val="clear" w:color="auto" w:fill="FFFFFF"/>
                  <w:vAlign w:val="center"/>
                  <w:hideMark/>
                </w:tcPr>
                <w:p w14:paraId="394699C9" w14:textId="77777777" w:rsidR="004A3FFE" w:rsidRDefault="004A3FFE">
                  <w:pPr>
                    <w:rPr>
                      <w:rFonts w:ascii="Arial" w:hAnsi="Arial" w:cs="Arial"/>
                      <w:color w:val="000000"/>
                      <w:sz w:val="21"/>
                      <w:szCs w:val="21"/>
                    </w:rPr>
                  </w:pPr>
                </w:p>
              </w:tc>
            </w:tr>
            <w:tr w:rsidR="004A3FFE" w14:paraId="6DBE58CD" w14:textId="77777777">
              <w:trPr>
                <w:jc w:val="center"/>
              </w:trPr>
              <w:tc>
                <w:tcPr>
                  <w:tcW w:w="5000" w:type="pct"/>
                  <w:shd w:val="clear" w:color="auto" w:fill="003A63"/>
                  <w:tcMar>
                    <w:top w:w="300" w:type="dxa"/>
                    <w:left w:w="300" w:type="dxa"/>
                    <w:bottom w:w="300" w:type="dxa"/>
                    <w:right w:w="300" w:type="dxa"/>
                  </w:tcMar>
                  <w:vAlign w:val="center"/>
                  <w:hideMark/>
                </w:tcPr>
                <w:p w14:paraId="18CF04AA" w14:textId="77777777" w:rsidR="004A3FFE" w:rsidRDefault="004A3FF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Maine Farm Service Agency</w:t>
                  </w:r>
                </w:p>
                <w:p w14:paraId="58F2BC5B" w14:textId="77777777" w:rsidR="004A3FFE" w:rsidRDefault="004A3FFE">
                  <w:pPr>
                    <w:spacing w:before="150" w:after="225"/>
                    <w:jc w:val="center"/>
                    <w:rPr>
                      <w:rFonts w:ascii="Arial" w:hAnsi="Arial" w:cs="Arial"/>
                      <w:color w:val="FFFFFF"/>
                      <w:sz w:val="21"/>
                      <w:szCs w:val="21"/>
                    </w:rPr>
                  </w:pPr>
                  <w:r>
                    <w:rPr>
                      <w:rFonts w:ascii="Arial" w:hAnsi="Arial" w:cs="Arial"/>
                      <w:color w:val="FFFFFF"/>
                      <w:sz w:val="21"/>
                      <w:szCs w:val="21"/>
                    </w:rPr>
                    <w:t>967 Illinois Ave, Ste 2 Bangor, ME  04401</w:t>
                  </w:r>
                </w:p>
                <w:p w14:paraId="7330DDA6" w14:textId="77777777" w:rsidR="004A3FFE" w:rsidRDefault="004A3FFE">
                  <w:pPr>
                    <w:spacing w:before="150" w:after="225"/>
                    <w:jc w:val="center"/>
                    <w:rPr>
                      <w:rFonts w:ascii="Arial" w:hAnsi="Arial" w:cs="Arial"/>
                      <w:color w:val="FFFFFF"/>
                      <w:sz w:val="21"/>
                      <w:szCs w:val="21"/>
                    </w:rPr>
                  </w:pPr>
                  <w:r>
                    <w:rPr>
                      <w:rFonts w:ascii="Arial" w:hAnsi="Arial" w:cs="Arial"/>
                      <w:color w:val="FFFFFF"/>
                      <w:sz w:val="21"/>
                      <w:szCs w:val="21"/>
                    </w:rPr>
                    <w:t>Phone: 207-990-9140 Fax: 855-589-1056</w:t>
                  </w:r>
                </w:p>
                <w:p w14:paraId="34B42D67" w14:textId="77777777" w:rsidR="004A3FFE" w:rsidRDefault="004A3FFE">
                  <w:pPr>
                    <w:spacing w:before="150" w:after="225"/>
                    <w:jc w:val="center"/>
                    <w:rPr>
                      <w:rFonts w:ascii="Arial" w:hAnsi="Arial" w:cs="Arial"/>
                      <w:color w:val="FFFFFF"/>
                      <w:sz w:val="21"/>
                      <w:szCs w:val="21"/>
                    </w:rPr>
                  </w:pPr>
                  <w:r>
                    <w:rPr>
                      <w:rFonts w:ascii="Arial" w:hAnsi="Arial" w:cs="Arial"/>
                      <w:color w:val="FFFFFF"/>
                      <w:sz w:val="21"/>
                      <w:szCs w:val="21"/>
                    </w:rPr>
                    <w:t>Maine Farm Service Agency Website:   </w:t>
                  </w:r>
                  <w:hyperlink r:id="rId17" w:history="1">
                    <w:r>
                      <w:rPr>
                        <w:rStyle w:val="Hyperlink"/>
                        <w:rFonts w:ascii="Arial" w:hAnsi="Arial" w:cs="Arial"/>
                        <w:color w:val="FFFFFF"/>
                        <w:sz w:val="21"/>
                        <w:szCs w:val="21"/>
                      </w:rPr>
                      <w:t>fsa.usda.gov/me</w:t>
                    </w:r>
                  </w:hyperlink>
                </w:p>
                <w:tbl>
                  <w:tblPr>
                    <w:tblW w:w="5026" w:type="pct"/>
                    <w:tblLook w:val="04A0" w:firstRow="1" w:lastRow="0" w:firstColumn="1" w:lastColumn="0" w:noHBand="0" w:noVBand="1"/>
                  </w:tblPr>
                  <w:tblGrid>
                    <w:gridCol w:w="4403"/>
                    <w:gridCol w:w="4403"/>
                  </w:tblGrid>
                  <w:tr w:rsidR="004A3FFE" w14:paraId="200C41F7" w14:textId="77777777">
                    <w:tc>
                      <w:tcPr>
                        <w:tcW w:w="2495" w:type="pct"/>
                        <w:tcMar>
                          <w:top w:w="15" w:type="dxa"/>
                          <w:left w:w="15" w:type="dxa"/>
                          <w:bottom w:w="15" w:type="dxa"/>
                          <w:right w:w="15" w:type="dxa"/>
                        </w:tcMar>
                        <w:vAlign w:val="center"/>
                        <w:hideMark/>
                      </w:tcPr>
                      <w:p w14:paraId="7F3EAB3F" w14:textId="77777777" w:rsidR="004A3FFE" w:rsidRDefault="004A3FFE">
                        <w:pPr>
                          <w:spacing w:before="150" w:after="225"/>
                          <w:rPr>
                            <w:rFonts w:ascii="Arial" w:hAnsi="Arial" w:cs="Arial"/>
                            <w:color w:val="FFFFFF"/>
                            <w:sz w:val="21"/>
                            <w:szCs w:val="21"/>
                          </w:rPr>
                        </w:pPr>
                        <w:r>
                          <w:rPr>
                            <w:rStyle w:val="Strong"/>
                            <w:rFonts w:ascii="Arial" w:hAnsi="Arial" w:cs="Arial"/>
                            <w:color w:val="FFFFFF"/>
                            <w:sz w:val="21"/>
                            <w:szCs w:val="21"/>
                          </w:rPr>
                          <w:t>Sherry Hamel, Acting State Exec Director</w:t>
                        </w:r>
                      </w:p>
                      <w:p w14:paraId="223C8022" w14:textId="77777777" w:rsidR="004A3FFE" w:rsidRDefault="004A3FFE">
                        <w:pPr>
                          <w:spacing w:before="150" w:after="225"/>
                          <w:rPr>
                            <w:rFonts w:ascii="Arial" w:hAnsi="Arial" w:cs="Arial"/>
                            <w:color w:val="FFFFFF"/>
                            <w:sz w:val="21"/>
                            <w:szCs w:val="21"/>
                          </w:rPr>
                        </w:pPr>
                        <w:r>
                          <w:rPr>
                            <w:rStyle w:val="Strong"/>
                            <w:rFonts w:ascii="Arial" w:hAnsi="Arial" w:cs="Arial"/>
                            <w:color w:val="FFFFFF"/>
                            <w:sz w:val="21"/>
                            <w:szCs w:val="21"/>
                          </w:rPr>
                          <w:t>207-990-990-9131</w:t>
                        </w:r>
                      </w:p>
                      <w:p w14:paraId="060C4FBA" w14:textId="77777777" w:rsidR="004A3FFE" w:rsidRDefault="004A3FFE">
                        <w:pPr>
                          <w:spacing w:before="150" w:after="225"/>
                          <w:rPr>
                            <w:rFonts w:ascii="Arial" w:hAnsi="Arial" w:cs="Arial"/>
                            <w:color w:val="FFFFFF"/>
                            <w:sz w:val="21"/>
                            <w:szCs w:val="21"/>
                          </w:rPr>
                        </w:pPr>
                        <w:hyperlink r:id="rId18" w:history="1">
                          <w:r>
                            <w:rPr>
                              <w:rStyle w:val="Strong"/>
                              <w:rFonts w:ascii="Arial" w:hAnsi="Arial" w:cs="Arial"/>
                              <w:color w:val="FFFFFF"/>
                              <w:sz w:val="21"/>
                              <w:szCs w:val="21"/>
                              <w:u w:val="single"/>
                            </w:rPr>
                            <w:t>sherry.hamel@usda.gov</w:t>
                          </w:r>
                        </w:hyperlink>
                      </w:p>
                    </w:tc>
                    <w:tc>
                      <w:tcPr>
                        <w:tcW w:w="2495" w:type="pct"/>
                        <w:tcMar>
                          <w:top w:w="15" w:type="dxa"/>
                          <w:left w:w="15" w:type="dxa"/>
                          <w:bottom w:w="15" w:type="dxa"/>
                          <w:right w:w="15" w:type="dxa"/>
                        </w:tcMar>
                        <w:vAlign w:val="center"/>
                        <w:hideMark/>
                      </w:tcPr>
                      <w:p w14:paraId="215B4EF7" w14:textId="77777777" w:rsidR="004A3FFE" w:rsidRDefault="004A3FFE">
                        <w:pPr>
                          <w:spacing w:before="150" w:after="225"/>
                          <w:rPr>
                            <w:rFonts w:ascii="Arial" w:hAnsi="Arial" w:cs="Arial"/>
                            <w:color w:val="FFFFFF"/>
                            <w:sz w:val="21"/>
                            <w:szCs w:val="21"/>
                          </w:rPr>
                        </w:pPr>
                        <w:r>
                          <w:rPr>
                            <w:rStyle w:val="Strong"/>
                            <w:rFonts w:ascii="Arial" w:hAnsi="Arial" w:cs="Arial"/>
                            <w:color w:val="FFFFFF"/>
                            <w:sz w:val="21"/>
                            <w:szCs w:val="21"/>
                          </w:rPr>
                          <w:t>Jennifer Ranke, Farm Loan Chief</w:t>
                        </w:r>
                      </w:p>
                      <w:p w14:paraId="46F11CA4" w14:textId="77777777" w:rsidR="004A3FFE" w:rsidRDefault="004A3FFE">
                        <w:pPr>
                          <w:spacing w:before="150" w:after="225"/>
                          <w:rPr>
                            <w:rFonts w:ascii="Arial" w:hAnsi="Arial" w:cs="Arial"/>
                            <w:color w:val="FFFFFF"/>
                            <w:sz w:val="21"/>
                            <w:szCs w:val="21"/>
                          </w:rPr>
                        </w:pPr>
                        <w:r>
                          <w:rPr>
                            <w:rStyle w:val="Strong"/>
                            <w:rFonts w:ascii="Arial" w:hAnsi="Arial" w:cs="Arial"/>
                            <w:color w:val="FFFFFF"/>
                            <w:sz w:val="21"/>
                            <w:szCs w:val="21"/>
                          </w:rPr>
                          <w:t>207-990-9140</w:t>
                        </w:r>
                      </w:p>
                      <w:p w14:paraId="2AE4A149" w14:textId="77777777" w:rsidR="004A3FFE" w:rsidRDefault="004A3FFE">
                        <w:pPr>
                          <w:spacing w:before="150" w:after="225"/>
                          <w:rPr>
                            <w:rFonts w:ascii="Arial" w:hAnsi="Arial" w:cs="Arial"/>
                            <w:color w:val="FFFFFF"/>
                            <w:sz w:val="21"/>
                            <w:szCs w:val="21"/>
                          </w:rPr>
                        </w:pPr>
                        <w:hyperlink r:id="rId19" w:history="1">
                          <w:r>
                            <w:rPr>
                              <w:rStyle w:val="Strong"/>
                              <w:rFonts w:ascii="Arial" w:hAnsi="Arial" w:cs="Arial"/>
                              <w:color w:val="FFFFFF"/>
                              <w:sz w:val="21"/>
                              <w:szCs w:val="21"/>
                              <w:u w:val="single"/>
                            </w:rPr>
                            <w:t>jennifer.ranke@usda.gov</w:t>
                          </w:r>
                        </w:hyperlink>
                      </w:p>
                    </w:tc>
                  </w:tr>
                  <w:tr w:rsidR="004A3FFE" w14:paraId="4187F1CC" w14:textId="77777777">
                    <w:tc>
                      <w:tcPr>
                        <w:tcW w:w="2495" w:type="pct"/>
                        <w:tcMar>
                          <w:top w:w="15" w:type="dxa"/>
                          <w:left w:w="15" w:type="dxa"/>
                          <w:bottom w:w="15" w:type="dxa"/>
                          <w:right w:w="15" w:type="dxa"/>
                        </w:tcMar>
                        <w:vAlign w:val="center"/>
                        <w:hideMark/>
                      </w:tcPr>
                      <w:p w14:paraId="114B6F69"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495" w:type="pct"/>
                        <w:tcMar>
                          <w:top w:w="15" w:type="dxa"/>
                          <w:left w:w="15" w:type="dxa"/>
                          <w:bottom w:w="15" w:type="dxa"/>
                          <w:right w:w="15" w:type="dxa"/>
                        </w:tcMar>
                        <w:vAlign w:val="center"/>
                        <w:hideMark/>
                      </w:tcPr>
                      <w:p w14:paraId="15FDB7FC"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4A3FFE" w14:paraId="0BF6B51D" w14:textId="77777777">
                    <w:tc>
                      <w:tcPr>
                        <w:tcW w:w="2495" w:type="pct"/>
                        <w:tcMar>
                          <w:top w:w="15" w:type="dxa"/>
                          <w:left w:w="15" w:type="dxa"/>
                          <w:bottom w:w="15" w:type="dxa"/>
                          <w:right w:w="15" w:type="dxa"/>
                        </w:tcMar>
                        <w:vAlign w:val="center"/>
                        <w:hideMark/>
                      </w:tcPr>
                      <w:p w14:paraId="1754023E"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495" w:type="pct"/>
                        <w:tcMar>
                          <w:top w:w="15" w:type="dxa"/>
                          <w:left w:w="15" w:type="dxa"/>
                          <w:bottom w:w="15" w:type="dxa"/>
                          <w:right w:w="15" w:type="dxa"/>
                        </w:tcMar>
                        <w:vAlign w:val="center"/>
                        <w:hideMark/>
                      </w:tcPr>
                      <w:p w14:paraId="0CE6C3EB"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4A3FFE" w14:paraId="1A9E4A5F" w14:textId="77777777">
                    <w:tc>
                      <w:tcPr>
                        <w:tcW w:w="2495" w:type="pct"/>
                        <w:tcMar>
                          <w:top w:w="15" w:type="dxa"/>
                          <w:left w:w="15" w:type="dxa"/>
                          <w:bottom w:w="15" w:type="dxa"/>
                          <w:right w:w="15" w:type="dxa"/>
                        </w:tcMar>
                        <w:vAlign w:val="center"/>
                        <w:hideMark/>
                      </w:tcPr>
                      <w:p w14:paraId="128EC97E"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495" w:type="pct"/>
                        <w:tcMar>
                          <w:top w:w="15" w:type="dxa"/>
                          <w:left w:w="15" w:type="dxa"/>
                          <w:bottom w:w="15" w:type="dxa"/>
                          <w:right w:w="15" w:type="dxa"/>
                        </w:tcMar>
                        <w:vAlign w:val="center"/>
                        <w:hideMark/>
                      </w:tcPr>
                      <w:p w14:paraId="0AD4A3D8" w14:textId="77777777" w:rsidR="004A3FFE" w:rsidRDefault="004A3FFE">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4597DB21" w14:textId="77777777" w:rsidR="004A3FFE" w:rsidRDefault="004A3FFE">
                  <w:pPr>
                    <w:spacing w:before="150" w:after="225"/>
                    <w:rPr>
                      <w:rFonts w:ascii="Arial" w:hAnsi="Arial" w:cs="Arial"/>
                      <w:color w:val="FFFFFF"/>
                      <w:sz w:val="21"/>
                      <w:szCs w:val="21"/>
                    </w:rPr>
                  </w:pPr>
                  <w:r>
                    <w:rPr>
                      <w:rFonts w:ascii="Arial" w:hAnsi="Arial" w:cs="Arial"/>
                      <w:color w:val="FFFFFF"/>
                      <w:sz w:val="21"/>
                      <w:szCs w:val="21"/>
                    </w:rPr>
                    <w:t> </w:t>
                  </w:r>
                </w:p>
              </w:tc>
            </w:tr>
          </w:tbl>
          <w:p w14:paraId="3A61AC2E" w14:textId="77777777" w:rsidR="004A3FFE" w:rsidRDefault="004A3FFE">
            <w:pPr>
              <w:jc w:val="center"/>
              <w:rPr>
                <w:rFonts w:ascii="Times New Roman" w:eastAsia="Times New Roman" w:hAnsi="Times New Roman" w:cs="Times New Roman"/>
                <w:sz w:val="20"/>
                <w:szCs w:val="20"/>
              </w:rPr>
            </w:pPr>
          </w:p>
        </w:tc>
      </w:tr>
    </w:tbl>
    <w:p w14:paraId="07D50D7B" w14:textId="77777777" w:rsidR="004A3FFE" w:rsidRDefault="004A3FFE">
      <w:pPr>
        <w:rPr>
          <w:rFonts w:ascii="Arial" w:hAnsi="Arial" w:cs="Arial"/>
          <w:color w:val="444444"/>
          <w:sz w:val="18"/>
          <w:szCs w:val="18"/>
        </w:rPr>
      </w:pPr>
    </w:p>
    <w:p w14:paraId="7E18EE95" w14:textId="3265D625" w:rsidR="001268FC" w:rsidRDefault="004A3FFE">
      <w:r>
        <w:rPr>
          <w:rFonts w:ascii="Arial" w:hAnsi="Arial" w:cs="Arial"/>
          <w:color w:val="444444"/>
          <w:sz w:val="18"/>
          <w:szCs w:val="18"/>
        </w:rPr>
        <w:t xml:space="preserve">USDA is an equal opportunity provider, </w:t>
      </w:r>
      <w:proofErr w:type="gramStart"/>
      <w:r>
        <w:rPr>
          <w:rFonts w:ascii="Arial" w:hAnsi="Arial" w:cs="Arial"/>
          <w:color w:val="444444"/>
          <w:sz w:val="18"/>
          <w:szCs w:val="18"/>
        </w:rPr>
        <w:t>employer</w:t>
      </w:r>
      <w:proofErr w:type="gramEnd"/>
      <w:r>
        <w:rPr>
          <w:rFonts w:ascii="Arial" w:hAnsi="Arial" w:cs="Arial"/>
          <w:color w:val="444444"/>
          <w:sz w:val="18"/>
          <w:szCs w:val="18"/>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sectPr w:rsidR="00126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0567C"/>
    <w:multiLevelType w:val="multilevel"/>
    <w:tmpl w:val="3B186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32392"/>
    <w:multiLevelType w:val="multilevel"/>
    <w:tmpl w:val="90745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FE"/>
    <w:rsid w:val="001268FC"/>
    <w:rsid w:val="004A3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1D82BC"/>
  <w15:chartTrackingRefBased/>
  <w15:docId w15:val="{0F832B87-B34E-4619-BCDF-1A5F326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FE"/>
    <w:pPr>
      <w:spacing w:after="0" w:line="240" w:lineRule="auto"/>
    </w:pPr>
    <w:rPr>
      <w:rFonts w:ascii="Calibri" w:hAnsi="Calibri" w:cs="Calibri"/>
    </w:rPr>
  </w:style>
  <w:style w:type="paragraph" w:styleId="Heading1">
    <w:name w:val="heading 1"/>
    <w:basedOn w:val="Normal"/>
    <w:link w:val="Heading1Char"/>
    <w:uiPriority w:val="9"/>
    <w:qFormat/>
    <w:rsid w:val="004A3FF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FFE"/>
    <w:rPr>
      <w:rFonts w:ascii="Calibri" w:hAnsi="Calibri" w:cs="Calibri"/>
      <w:b/>
      <w:bCs/>
      <w:kern w:val="36"/>
      <w:sz w:val="48"/>
      <w:szCs w:val="48"/>
    </w:rPr>
  </w:style>
  <w:style w:type="character" w:styleId="Hyperlink">
    <w:name w:val="Hyperlink"/>
    <w:basedOn w:val="DefaultParagraphFont"/>
    <w:uiPriority w:val="99"/>
    <w:semiHidden/>
    <w:unhideWhenUsed/>
    <w:rsid w:val="004A3FFE"/>
    <w:rPr>
      <w:color w:val="0000FF"/>
      <w:u w:val="single"/>
    </w:rPr>
  </w:style>
  <w:style w:type="character" w:styleId="Strong">
    <w:name w:val="Strong"/>
    <w:basedOn w:val="DefaultParagraphFont"/>
    <w:uiPriority w:val="22"/>
    <w:qFormat/>
    <w:rsid w:val="004A3FFE"/>
    <w:rPr>
      <w:b/>
      <w:bCs/>
    </w:rPr>
  </w:style>
  <w:style w:type="character" w:styleId="Emphasis">
    <w:name w:val="Emphasis"/>
    <w:basedOn w:val="DefaultParagraphFont"/>
    <w:uiPriority w:val="20"/>
    <w:qFormat/>
    <w:rsid w:val="004A3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585528">
      <w:bodyDiv w:val="1"/>
      <w:marLeft w:val="0"/>
      <w:marRight w:val="0"/>
      <w:marTop w:val="0"/>
      <w:marBottom w:val="0"/>
      <w:divBdr>
        <w:top w:val="none" w:sz="0" w:space="0" w:color="auto"/>
        <w:left w:val="none" w:sz="0" w:space="0" w:color="auto"/>
        <w:bottom w:val="none" w:sz="0" w:space="0" w:color="auto"/>
        <w:right w:val="none" w:sz="0" w:space="0" w:color="auto"/>
      </w:divBdr>
      <w:divsChild>
        <w:div w:id="565340426">
          <w:marLeft w:val="0"/>
          <w:marRight w:val="0"/>
          <w:marTop w:val="300"/>
          <w:marBottom w:val="300"/>
          <w:divBdr>
            <w:top w:val="none" w:sz="0" w:space="0" w:color="auto"/>
            <w:left w:val="none" w:sz="0" w:space="0" w:color="auto"/>
            <w:bottom w:val="none" w:sz="0" w:space="0" w:color="auto"/>
            <w:right w:val="none" w:sz="0" w:space="0" w:color="auto"/>
          </w:divBdr>
        </w:div>
        <w:div w:id="1994947351">
          <w:marLeft w:val="0"/>
          <w:marRight w:val="0"/>
          <w:marTop w:val="300"/>
          <w:marBottom w:val="300"/>
          <w:divBdr>
            <w:top w:val="none" w:sz="0" w:space="0" w:color="auto"/>
            <w:left w:val="none" w:sz="0" w:space="0" w:color="auto"/>
            <w:bottom w:val="none" w:sz="0" w:space="0" w:color="auto"/>
            <w:right w:val="none" w:sz="0" w:space="0" w:color="auto"/>
          </w:divBdr>
        </w:div>
        <w:div w:id="1201211475">
          <w:marLeft w:val="0"/>
          <w:marRight w:val="0"/>
          <w:marTop w:val="300"/>
          <w:marBottom w:val="300"/>
          <w:divBdr>
            <w:top w:val="none" w:sz="0" w:space="0" w:color="auto"/>
            <w:left w:val="none" w:sz="0" w:space="0" w:color="auto"/>
            <w:bottom w:val="none" w:sz="0" w:space="0" w:color="auto"/>
            <w:right w:val="none" w:sz="0" w:space="0" w:color="auto"/>
          </w:divBdr>
        </w:div>
        <w:div w:id="1942957964">
          <w:marLeft w:val="0"/>
          <w:marRight w:val="0"/>
          <w:marTop w:val="300"/>
          <w:marBottom w:val="300"/>
          <w:divBdr>
            <w:top w:val="none" w:sz="0" w:space="0" w:color="auto"/>
            <w:left w:val="none" w:sz="0" w:space="0" w:color="auto"/>
            <w:bottom w:val="none" w:sz="0" w:space="0" w:color="auto"/>
            <w:right w:val="none" w:sz="0" w:space="0" w:color="auto"/>
          </w:divBdr>
        </w:div>
        <w:div w:id="497112028">
          <w:marLeft w:val="0"/>
          <w:marRight w:val="0"/>
          <w:marTop w:val="300"/>
          <w:marBottom w:val="300"/>
          <w:divBdr>
            <w:top w:val="none" w:sz="0" w:space="0" w:color="auto"/>
            <w:left w:val="none" w:sz="0" w:space="0" w:color="auto"/>
            <w:bottom w:val="none" w:sz="0" w:space="0" w:color="auto"/>
            <w:right w:val="none" w:sz="0" w:space="0" w:color="auto"/>
          </w:divBdr>
        </w:div>
        <w:div w:id="1974677424">
          <w:marLeft w:val="0"/>
          <w:marRight w:val="0"/>
          <w:marTop w:val="300"/>
          <w:marBottom w:val="300"/>
          <w:divBdr>
            <w:top w:val="none" w:sz="0" w:space="0" w:color="auto"/>
            <w:left w:val="none" w:sz="0" w:space="0" w:color="auto"/>
            <w:bottom w:val="none" w:sz="0" w:space="0" w:color="auto"/>
            <w:right w:val="none" w:sz="0" w:space="0" w:color="auto"/>
          </w:divBdr>
        </w:div>
        <w:div w:id="39157977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data=04%7C01%7C%7Cb7688db1ac5f49bfcb2d08d92cf10601%7Ced5b36e701ee4ebc867ee03cfa0d4697%7C0%7C0%7C637590235992028341%7CUnknown%7CTWFpbGZsb3d8eyJWIjoiMC4wLjAwMDAiLCJQIjoiV2luMzIiLCJBTiI6Ik1haWwiLCJXVCI6Mn0%3D%7C1000&amp;reserved=0&amp;sdata=fyvT24n8DcKsDQ7VapThnsy0deUk3a3MFB8X70m4JpE%3D&amp;url=https%3A%2F%2Fwww.fsa.usda.gov%2FAssets%2FUSDA-FSA-Public%2Fusdafiles%2FFactSheets%2Fcrp-grasslands-signup_fact-sheet.pdf%3Futm_medium%3Demail%26utm_source%3Dgovdelivery&amp;utm_medium=email&amp;utm_source=govdelivery" TargetMode="External"/><Relationship Id="rId13" Type="http://schemas.openxmlformats.org/officeDocument/2006/relationships/hyperlink" Target="https://gcc02.safelinks.protection.outlook.com/?url=http%3A%2F%2Fwww.fsa.usda.gov%2Fmicroloans%3Futm_medium%3Demail%26utm_source%3Dgovdelivery&amp;data=04%7C01%7C%7Cfd3e413b09e04aa6e23e08d945469fc6%7Ced5b36e701ee4ebc867ee03cfa0d4697%7C0%7C1%7C637616996270614201%7CUnknown%7CTWFpbGZsb3d8eyJWIjoiMC4wLjAwMDAiLCJQIjoiV2luMzIiLCJBTiI6Ik1haWwiLCJXVCI6Mn0%3D%7C3000&amp;sdata=ppI73Y%2BjqLqOWqj8d2xs4tg97HQhDrOG%2Bvlm8WkrPMY%3D&amp;reserved=0" TargetMode="External"/><Relationship Id="rId18" Type="http://schemas.openxmlformats.org/officeDocument/2006/relationships/hyperlink" Target="mailto:sherry.hamel@usda.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cc02.safelinks.protection.outlook.com/?url=https%3A%2F%2Fwww.fsa.usda.gov%2FAssets%2FUSDA-FSA-Public%2Fusdafiles%2FFactSheets%2Fcrp-general-enrollment-signup_factsheet.pdf%3Futm_medium%3Demail%26utm_source%3Dgovdelivery&amp;data=04%7C01%7C%7Cfd3e413b09e04aa6e23e08d945469fc6%7Ced5b36e701ee4ebc867ee03cfa0d4697%7C0%7C1%7C637616996270604244%7CUnknown%7CTWFpbGZsb3d8eyJWIjoiMC4wLjAwMDAiLCJQIjoiV2luMzIiLCJBTiI6Ik1haWwiLCJXVCI6Mn0%3D%7C3000&amp;sdata=nFnz%2BFkQwpr0zNxe544jASvt2szzfKexSX3hatSAEtQ%3D&amp;reserved=0" TargetMode="External"/><Relationship Id="rId12" Type="http://schemas.openxmlformats.org/officeDocument/2006/relationships/hyperlink" Target="https://gcc02.safelinks.protection.outlook.com/?url=http%3A%2F%2Fwww.fsa.usda.gov%2F%3Futm_medium%3Demail%26utm_source%3Dgovdelivery&amp;data=04%7C01%7C%7Cfd3e413b09e04aa6e23e08d945469fc6%7Ced5b36e701ee4ebc867ee03cfa0d4697%7C0%7C1%7C637616996270614201%7CUnknown%7CTWFpbGZsb3d8eyJWIjoiMC4wLjAwMDAiLCJQIjoiV2luMzIiLCJBTiI6Ik1haWwiLCJXVCI6Mn0%3D%7C3000&amp;sdata=VjlndAgSmTzvPyTR7OQRDwvMSBZuzsl8vULT5cM3DMU%3D&amp;reserved=0" TargetMode="External"/><Relationship Id="rId17" Type="http://schemas.openxmlformats.org/officeDocument/2006/relationships/hyperlink" Target="https://gcc02.safelinks.protection.outlook.com/?url=https%3A%2F%2Fwww.fsa.usda.gov%2Fstate-offices%2FMaine%2Findex%3Futm_medium%3Demail%26utm_source%3Dgovdelivery&amp;data=04%7C01%7C%7Cfd3e413b09e04aa6e23e08d945469fc6%7Ced5b36e701ee4ebc867ee03cfa0d4697%7C0%7C1%7C637616996270624159%7CUnknown%7CTWFpbGZsb3d8eyJWIjoiMC4wLjAwMDAiLCJQIjoiV2luMzIiLCJBTiI6Ik1haWwiLCJXVCI6Mn0%3D%7C3000&amp;sdata=FXJCyBeCITmyzNeqK1gbxhC9ymTBhnrfcnnXpUrutAE%3D&amp;reserved=0" TargetMode="External"/><Relationship Id="rId2" Type="http://schemas.openxmlformats.org/officeDocument/2006/relationships/styles" Target="styles.xml"/><Relationship Id="rId16" Type="http://schemas.openxmlformats.org/officeDocument/2006/relationships/hyperlink" Target="https://www.farmers.gov/coronavirus?utm_medium=email&amp;utm_source=govdelive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content.govdelivery.com/attachments/fancy_images/USDAFARMERS/2021/06/4654493/3610519/crp-field_crop.jpg" TargetMode="External"/><Relationship Id="rId11" Type="http://schemas.openxmlformats.org/officeDocument/2006/relationships/hyperlink" Target="https://www.farmers.gov/service-center-locator?utm_medium=email&amp;utm_source=govdelivery" TargetMode="External"/><Relationship Id="rId5" Type="http://schemas.openxmlformats.org/officeDocument/2006/relationships/image" Target="media/image1.png"/><Relationship Id="rId15" Type="http://schemas.openxmlformats.org/officeDocument/2006/relationships/hyperlink" Target="http://www.farmers.gov/service-locator?utm_medium=email&amp;utm_source=govdelivery" TargetMode="External"/><Relationship Id="rId10" Type="http://schemas.openxmlformats.org/officeDocument/2006/relationships/hyperlink" Target="https://offices.sc.egov.usda.gov/locator/app?utm_medium=email&amp;utm_source=govdelivery" TargetMode="External"/><Relationship Id="rId19" Type="http://schemas.openxmlformats.org/officeDocument/2006/relationships/hyperlink" Target="mailto:jennifer.ranke@usda.gov" TargetMode="External"/><Relationship Id="rId4" Type="http://schemas.openxmlformats.org/officeDocument/2006/relationships/webSettings" Target="webSettings.xml"/><Relationship Id="rId9" Type="http://schemas.openxmlformats.org/officeDocument/2006/relationships/hyperlink" Target="https://offices.sc.egov.usda.gov/locator/app?utm_medium=email&amp;utm_source=govdelivery" TargetMode="External"/><Relationship Id="rId14" Type="http://schemas.openxmlformats.org/officeDocument/2006/relationships/hyperlink" Target="https://gcc02.safelinks.protection.outlook.com/?url=http%3A%2F%2Fwww.fsa.usda.gov%2Ffarmloans%3Futm_medium%3Demail%26utm_source%3Dgovdelivery&amp;data=04%7C01%7C%7Cfd3e413b09e04aa6e23e08d945469fc6%7Ced5b36e701ee4ebc867ee03cfa0d4697%7C0%7C1%7C637616996270624159%7CUnknown%7CTWFpbGZsb3d8eyJWIjoiMC4wLjAwMDAiLCJQIjoiV2luMzIiLCJBTiI6Ik1haWwiLCJXVCI6Mn0%3D%7C3000&amp;sdata=StyPRxa8HRwxDyurrr%2Bxh5Mjxr17%2BulIRCtba8rMg2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2334</Words>
  <Characters>13307</Characters>
  <Application>Microsoft Office Word</Application>
  <DocSecurity>0</DocSecurity>
  <Lines>110</Lines>
  <Paragraphs>31</Paragraphs>
  <ScaleCrop>false</ScaleCrop>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2021-07-30T12:45:00Z</dcterms:created>
  <dcterms:modified xsi:type="dcterms:W3CDTF">2021-07-30T12:51:00Z</dcterms:modified>
</cp:coreProperties>
</file>